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0D4" w:rsidRPr="00D810D4" w:rsidRDefault="00D810D4" w:rsidP="00D810D4">
      <w:pPr>
        <w:autoSpaceDE w:val="0"/>
        <w:autoSpaceDN w:val="0"/>
        <w:adjustRightInd w:val="0"/>
        <w:jc w:val="center"/>
        <w:rPr>
          <w:rFonts w:ascii="Neutraface 2 Display Titling" w:hAnsi="Neutraface 2 Display Titling" w:cs="NeutrafaceSlabText-Book"/>
          <w:sz w:val="32"/>
          <w:szCs w:val="32"/>
        </w:rPr>
      </w:pPr>
      <w:r w:rsidRPr="00D810D4">
        <w:rPr>
          <w:rFonts w:ascii="Neutraface 2 Display Titling" w:hAnsi="Neutraface 2 Display Titling" w:cs="NeutrafaceSlabText-Book"/>
          <w:sz w:val="32"/>
          <w:szCs w:val="32"/>
        </w:rPr>
        <w:t>VISUELS DIPONIBLES POUR LA PRESSE</w:t>
      </w: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  <w:sz w:val="20"/>
          <w:szCs w:val="20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  <w:sz w:val="20"/>
          <w:szCs w:val="20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Couverture du DP. </w:t>
      </w:r>
      <w:r w:rsidRPr="00D810D4">
        <w:rPr>
          <w:rFonts w:ascii="NeutrafaceSlabText-Book" w:hAnsi="NeutrafaceSlabText-Book" w:cs="NeutrafaceSlabText-Book"/>
          <w:b/>
        </w:rPr>
        <w:t>La mosaïque de Neptune</w:t>
      </w:r>
      <w:r w:rsidRPr="00D810D4">
        <w:rPr>
          <w:rFonts w:ascii="NeutrafaceSlabText-Book" w:hAnsi="NeutrafaceSlabText-Book" w:cs="NeutrafaceSlabText-Book"/>
        </w:rPr>
        <w:t xml:space="preserve">, </w:t>
      </w:r>
      <w:r w:rsidR="009C1AD3">
        <w:rPr>
          <w:rFonts w:ascii="NeutrafaceSlabText-Book" w:hAnsi="NeutrafaceSlabText-Book" w:cs="NeutrafaceSlabText-Book"/>
        </w:rPr>
        <w:t xml:space="preserve">troisième quart du </w:t>
      </w:r>
      <w:r w:rsidR="00EF4427">
        <w:rPr>
          <w:rFonts w:ascii="NeutrafaceSlabText-Book" w:hAnsi="NeutrafaceSlabText-Book" w:cs="NeutrafaceSlabText-Book"/>
        </w:rPr>
        <w:t>II</w:t>
      </w:r>
      <w:r w:rsidR="00EF4427" w:rsidRPr="00EF4427">
        <w:rPr>
          <w:rFonts w:ascii="NeutrafaceSlabText-Book" w:hAnsi="NeutrafaceSlabText-Book" w:cs="NeutrafaceSlabText-Book"/>
          <w:vertAlign w:val="superscript"/>
        </w:rPr>
        <w:t>ème</w:t>
      </w:r>
      <w:r w:rsidR="00EF4427">
        <w:rPr>
          <w:rFonts w:ascii="NeutrafaceSlabText-Book" w:hAnsi="NeutrafaceSlabText-Book" w:cs="NeutrafaceSlabText-Book"/>
        </w:rPr>
        <w:t xml:space="preserve"> siècle © Collection du MBAA, photographie Charles Choffet</w:t>
      </w: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bookmarkStart w:id="0" w:name="_GoBack"/>
      <w:bookmarkEnd w:id="0"/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Deuxième de couverture. </w:t>
      </w:r>
      <w:r w:rsidR="00F3052E" w:rsidRPr="00F3052E">
        <w:rPr>
          <w:rFonts w:ascii="NeutrafaceSlabText-Book" w:hAnsi="NeutrafaceSlabText-Book" w:cs="NeutrafaceSlabText-Book"/>
          <w:b/>
        </w:rPr>
        <w:t>Eustache LE SUEUR</w:t>
      </w:r>
      <w:r w:rsidR="00F3052E">
        <w:rPr>
          <w:rFonts w:ascii="NeutrafaceSlabText-Book" w:hAnsi="NeutrafaceSlabText-Book" w:cs="NeutrafaceSlabText-Book"/>
        </w:rPr>
        <w:t xml:space="preserve">, </w:t>
      </w:r>
      <w:r w:rsidR="00F3052E" w:rsidRPr="00F3052E">
        <w:rPr>
          <w:rFonts w:ascii="NeutrafaceSlabText-Book" w:hAnsi="NeutrafaceSlabText-Book" w:cs="NeutrafaceSlabText-Book"/>
          <w:i/>
        </w:rPr>
        <w:t>Junon répandant ses bienfaits sur Carthage</w:t>
      </w:r>
      <w:r w:rsidR="00F3052E">
        <w:rPr>
          <w:rFonts w:ascii="NeutrafaceSlabText-Book" w:hAnsi="NeutrafaceSlabText-Book" w:cs="NeutrafaceSlabText-Book"/>
        </w:rPr>
        <w:t>, 1653 © Collection du MBAA, photographie Charles Choffet</w:t>
      </w: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1. </w:t>
      </w:r>
      <w:r w:rsidRPr="00D810D4">
        <w:rPr>
          <w:rFonts w:ascii="NeutrafaceSlabText-Bold" w:hAnsi="NeutrafaceSlabText-Bold" w:cs="NeutrafaceSlabText-Bold"/>
          <w:b/>
          <w:bCs/>
        </w:rPr>
        <w:t xml:space="preserve">Prométhée enchaîné, </w:t>
      </w:r>
      <w:r w:rsidRPr="00D810D4">
        <w:rPr>
          <w:rFonts w:ascii="NeutrafaceSlabText-Book" w:hAnsi="NeutrafaceSlabText-Book" w:cs="NeutrafaceSlabText-Book"/>
        </w:rPr>
        <w:t xml:space="preserve">fragment de sarcophage, Italie © Collection du MBAA, photographie Jean-Louis </w:t>
      </w:r>
      <w:proofErr w:type="spellStart"/>
      <w:r w:rsidRPr="00D810D4">
        <w:rPr>
          <w:rFonts w:ascii="NeutrafaceSlabText-Book" w:hAnsi="NeutrafaceSlabText-Book" w:cs="NeutrafaceSlabText-Book"/>
        </w:rPr>
        <w:t>Dousson</w:t>
      </w:r>
      <w:proofErr w:type="spellEnd"/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2. </w:t>
      </w:r>
      <w:r w:rsidRPr="00D810D4">
        <w:rPr>
          <w:rFonts w:ascii="NeutrafaceSlabText-Bold" w:hAnsi="NeutrafaceSlabText-Bold" w:cs="NeutrafaceSlabText-Bold"/>
          <w:b/>
          <w:bCs/>
        </w:rPr>
        <w:t>Jacob MATHAM</w:t>
      </w:r>
      <w:r w:rsidRPr="00D810D4">
        <w:rPr>
          <w:rFonts w:ascii="NeutrafaceSlabText-Book" w:hAnsi="NeutrafaceSlabText-Book" w:cs="NeutrafaceSlabText-Book"/>
        </w:rPr>
        <w:t xml:space="preserve">, d’après </w:t>
      </w:r>
      <w:proofErr w:type="spellStart"/>
      <w:r w:rsidRPr="00D810D4">
        <w:rPr>
          <w:rFonts w:ascii="NeutrafaceSlabText-Book" w:hAnsi="NeutrafaceSlabText-Book" w:cs="NeutrafaceSlabText-Book"/>
        </w:rPr>
        <w:t>Hendrick</w:t>
      </w:r>
      <w:proofErr w:type="spellEnd"/>
      <w:r w:rsidRPr="00D810D4">
        <w:rPr>
          <w:rFonts w:ascii="NeutrafaceSlabText-Book" w:hAnsi="NeutrafaceSlabText-Book" w:cs="NeutrafaceSlabText-Book"/>
        </w:rPr>
        <w:t xml:space="preserve"> GOLTZIUS, </w:t>
      </w:r>
      <w:r w:rsidRPr="00D810D4">
        <w:rPr>
          <w:rFonts w:ascii="NeutrafaceSlabText-BookItalic" w:hAnsi="NeutrafaceSlabText-BookItalic" w:cs="NeutrafaceSlabText-BookItalic"/>
          <w:i/>
          <w:iCs/>
        </w:rPr>
        <w:t>Les trois Parques</w:t>
      </w:r>
      <w:r w:rsidRPr="00D810D4">
        <w:rPr>
          <w:rFonts w:ascii="NeutrafaceSlabText-Book" w:hAnsi="NeutrafaceSlabText-Book" w:cs="NeutrafaceSlabText-Book"/>
        </w:rPr>
        <w:t xml:space="preserve">, estampe, 1587 © Collection du MBAA, photographie Pierre </w:t>
      </w:r>
      <w:proofErr w:type="spellStart"/>
      <w:r w:rsidRPr="00D810D4">
        <w:rPr>
          <w:rFonts w:ascii="NeutrafaceSlabText-Book" w:hAnsi="NeutrafaceSlabText-Book" w:cs="NeutrafaceSlabText-Book"/>
        </w:rPr>
        <w:t>Guenat</w:t>
      </w:r>
      <w:proofErr w:type="spellEnd"/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</w:p>
    <w:p w:rsidR="00CA3F53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3. </w:t>
      </w:r>
      <w:r w:rsidRPr="00D810D4">
        <w:rPr>
          <w:rFonts w:ascii="NeutrafaceSlabText-Bold" w:hAnsi="NeutrafaceSlabText-Bold" w:cs="NeutrafaceSlabText-Bold"/>
          <w:b/>
          <w:bCs/>
        </w:rPr>
        <w:t xml:space="preserve">Maria Giuseppe CRESPI, </w:t>
      </w:r>
      <w:r w:rsidRPr="00D810D4">
        <w:rPr>
          <w:rFonts w:ascii="NeutrafaceSlabText-BookItalic" w:hAnsi="NeutrafaceSlabText-BookItalic" w:cs="NeutrafaceSlabText-BookItalic"/>
          <w:i/>
          <w:iCs/>
        </w:rPr>
        <w:t>La Sybille de Cumes</w:t>
      </w:r>
      <w:r w:rsidRPr="00D810D4">
        <w:rPr>
          <w:rFonts w:ascii="NeutrafaceSlabText-Book" w:hAnsi="NeutrafaceSlabText-Book" w:cs="NeutrafaceSlabText-Book"/>
        </w:rPr>
        <w:t>, XVII</w:t>
      </w:r>
      <w:r w:rsidRPr="00EE46B6">
        <w:rPr>
          <w:rFonts w:ascii="Neutraface Slab Text Book" w:hAnsi="Neutraface Slab Text Book" w:cs="NeutrafaceSlabText-Book"/>
          <w:vertAlign w:val="superscript"/>
        </w:rPr>
        <w:t>ème</w:t>
      </w:r>
      <w:r w:rsidRPr="00D810D4">
        <w:rPr>
          <w:rFonts w:ascii="NeutrafaceSlabText-Book" w:hAnsi="NeutrafaceSlabText-Book" w:cs="NeutrafaceSlabText-Book"/>
        </w:rPr>
        <w:t xml:space="preserve"> siècle © Collection du MBAA, photographie Charles Choffet</w:t>
      </w:r>
    </w:p>
    <w:p w:rsidR="00D810D4" w:rsidRPr="00D810D4" w:rsidRDefault="00D810D4" w:rsidP="00D810D4">
      <w:pPr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4. </w:t>
      </w:r>
      <w:r w:rsidRPr="00D810D4">
        <w:rPr>
          <w:rFonts w:ascii="NeutrafaceSlabText-Bold" w:hAnsi="NeutrafaceSlabText-Bold" w:cs="NeutrafaceSlabText-Bold"/>
          <w:b/>
          <w:bCs/>
        </w:rPr>
        <w:t>D’après Frans FLORIS</w:t>
      </w:r>
      <w:r w:rsidRPr="00D810D4">
        <w:rPr>
          <w:rFonts w:ascii="NeutrafaceSlabText-Book" w:hAnsi="NeutrafaceSlabText-Book" w:cs="NeutrafaceSlabText-Book"/>
        </w:rPr>
        <w:t xml:space="preserve">, </w:t>
      </w:r>
      <w:r w:rsidRPr="00D810D4">
        <w:rPr>
          <w:rFonts w:ascii="NeutrafaceSlabText-BookItalic" w:hAnsi="NeutrafaceSlabText-BookItalic" w:cs="NeutrafaceSlabText-BookItalic"/>
          <w:i/>
          <w:iCs/>
        </w:rPr>
        <w:t xml:space="preserve">Le Jugement de Pâris, </w:t>
      </w:r>
      <w:r w:rsidRPr="00D810D4">
        <w:rPr>
          <w:rFonts w:ascii="NeutrafaceSlabText-Book" w:hAnsi="NeutrafaceSlabText-Book" w:cs="NeutrafaceSlabText-Book"/>
        </w:rPr>
        <w:t>huile sur bois, XVII</w:t>
      </w:r>
      <w:r w:rsidRPr="00EE46B6">
        <w:rPr>
          <w:rFonts w:ascii="Neutraface Slab Text Book" w:hAnsi="Neutraface Slab Text Book" w:cs="NeutrafaceSlabText-Book"/>
          <w:vertAlign w:val="superscript"/>
        </w:rPr>
        <w:t>ème</w:t>
      </w:r>
      <w:r w:rsidRPr="00D810D4">
        <w:rPr>
          <w:rFonts w:ascii="NeutrafaceSlabText-Book" w:hAnsi="NeutrafaceSlabText-Book" w:cs="NeutrafaceSlabText-Book"/>
        </w:rPr>
        <w:t xml:space="preserve"> siècle © Collection du MBAA, photographie Pierre </w:t>
      </w:r>
      <w:proofErr w:type="spellStart"/>
      <w:r w:rsidRPr="00D810D4">
        <w:rPr>
          <w:rFonts w:ascii="NeutrafaceSlabText-Book" w:hAnsi="NeutrafaceSlabText-Book" w:cs="NeutrafaceSlabText-Book"/>
        </w:rPr>
        <w:t>Guenat</w:t>
      </w:r>
      <w:proofErr w:type="spellEnd"/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Italic" w:hAnsi="NeutrafaceSlabText-BookItalic" w:cs="NeutrafaceSlabText-BookItalic"/>
          <w:i/>
          <w:iCs/>
        </w:rPr>
      </w:pPr>
      <w:r w:rsidRPr="00D810D4">
        <w:rPr>
          <w:rFonts w:ascii="NeutrafaceSlabText-Book" w:hAnsi="NeutrafaceSlabText-Book" w:cs="NeutrafaceSlabText-Book"/>
        </w:rPr>
        <w:t xml:space="preserve">5. </w:t>
      </w:r>
      <w:r w:rsidRPr="00D810D4">
        <w:rPr>
          <w:rFonts w:ascii="NeutrafaceSlabText-Bold" w:hAnsi="NeutrafaceSlabText-Bold" w:cs="NeutrafaceSlabText-Bold"/>
          <w:b/>
          <w:bCs/>
        </w:rPr>
        <w:t xml:space="preserve">Francesco RIGHETTI et </w:t>
      </w:r>
      <w:proofErr w:type="spellStart"/>
      <w:r w:rsidRPr="00D810D4">
        <w:rPr>
          <w:rFonts w:ascii="NeutrafaceSlabText-Bold" w:hAnsi="NeutrafaceSlabText-Bold" w:cs="NeutrafaceSlabText-Bold"/>
          <w:b/>
          <w:bCs/>
        </w:rPr>
        <w:t>Aloys</w:t>
      </w:r>
      <w:proofErr w:type="spellEnd"/>
      <w:r w:rsidRPr="00D810D4">
        <w:rPr>
          <w:rFonts w:ascii="NeutrafaceSlabText-Bold" w:hAnsi="NeutrafaceSlabText-Bold" w:cs="NeutrafaceSlabText-Bold"/>
          <w:b/>
          <w:bCs/>
        </w:rPr>
        <w:t xml:space="preserve"> RIGHETTI</w:t>
      </w:r>
      <w:r w:rsidRPr="00D810D4">
        <w:rPr>
          <w:rFonts w:ascii="NeutrafaceSlabText-Book" w:hAnsi="NeutrafaceSlabText-Book" w:cs="NeutrafaceSlabText-Book"/>
        </w:rPr>
        <w:t xml:space="preserve">, </w:t>
      </w:r>
      <w:r w:rsidRPr="00D810D4">
        <w:rPr>
          <w:rFonts w:ascii="NeutrafaceSlabText-BookItalic" w:hAnsi="NeutrafaceSlabText-BookItalic" w:cs="NeutrafaceSlabText-BookItalic"/>
          <w:i/>
          <w:iCs/>
        </w:rPr>
        <w:t>Laocoon et ses fils</w:t>
      </w:r>
      <w:r w:rsidRPr="00D810D4">
        <w:rPr>
          <w:rFonts w:ascii="NeutrafaceSlabText-Book" w:hAnsi="NeutrafaceSlabText-Book" w:cs="NeutrafaceSlabText-Book"/>
        </w:rPr>
        <w:t>, bronze, XVIII</w:t>
      </w:r>
      <w:r w:rsidRPr="00EE46B6">
        <w:rPr>
          <w:rFonts w:ascii="Neutraface Slab Text Book" w:hAnsi="Neutraface Slab Text Book" w:cs="NeutrafaceSlabText-Book"/>
          <w:vertAlign w:val="superscript"/>
        </w:rPr>
        <w:t>ème</w:t>
      </w:r>
      <w:r w:rsidRPr="00D810D4">
        <w:rPr>
          <w:rFonts w:ascii="NeutrafaceSlabText-Book" w:hAnsi="NeutrafaceSlabText-Book" w:cs="NeutrafaceSlabText-Book"/>
        </w:rPr>
        <w:t xml:space="preserve"> siècle © Collection du MBAA, photographie</w:t>
      </w:r>
      <w:r w:rsidRPr="00D810D4">
        <w:rPr>
          <w:rFonts w:ascii="NeutrafaceSlabText-BookItalic" w:hAnsi="NeutrafaceSlabText-BookItalic" w:cs="NeutrafaceSlabText-BookItalic"/>
          <w:i/>
          <w:iCs/>
        </w:rPr>
        <w:t xml:space="preserve"> </w:t>
      </w:r>
      <w:r w:rsidRPr="00D810D4">
        <w:rPr>
          <w:rFonts w:ascii="NeutrafaceSlabText-Book" w:hAnsi="NeutrafaceSlabText-Book" w:cs="NeutrafaceSlabText-Book"/>
        </w:rPr>
        <w:t xml:space="preserve">Pierre </w:t>
      </w:r>
      <w:proofErr w:type="spellStart"/>
      <w:r w:rsidRPr="00D810D4">
        <w:rPr>
          <w:rFonts w:ascii="NeutrafaceSlabText-Book" w:hAnsi="NeutrafaceSlabText-Book" w:cs="NeutrafaceSlabText-Book"/>
        </w:rPr>
        <w:t>Guenat</w:t>
      </w:r>
      <w:proofErr w:type="spellEnd"/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Italic" w:hAnsi="NeutrafaceSlabText-BookItalic" w:cs="NeutrafaceSlabText-BookItalic"/>
          <w:i/>
          <w:iCs/>
        </w:rPr>
      </w:pPr>
      <w:r w:rsidRPr="00D810D4">
        <w:rPr>
          <w:rFonts w:ascii="NeutrafaceSlabText-Book" w:hAnsi="NeutrafaceSlabText-Book" w:cs="NeutrafaceSlabText-Book"/>
        </w:rPr>
        <w:t xml:space="preserve">6. </w:t>
      </w:r>
      <w:r w:rsidRPr="00D810D4">
        <w:rPr>
          <w:rFonts w:ascii="NeutrafaceSlabText-Bold" w:hAnsi="NeutrafaceSlabText-Bold" w:cs="NeutrafaceSlabText-Bold"/>
          <w:b/>
          <w:bCs/>
        </w:rPr>
        <w:t xml:space="preserve">VAN THULDEN </w:t>
      </w:r>
      <w:r w:rsidRPr="00D810D4">
        <w:rPr>
          <w:rFonts w:ascii="NeutrafaceSlabText-Book" w:hAnsi="NeutrafaceSlabText-Book" w:cs="NeutrafaceSlabText-Book"/>
        </w:rPr>
        <w:t xml:space="preserve">d’après Primatice, </w:t>
      </w:r>
      <w:r w:rsidRPr="00D810D4">
        <w:rPr>
          <w:rFonts w:ascii="NeutrafaceSlabText-BookItalic" w:hAnsi="NeutrafaceSlabText-BookItalic" w:cs="NeutrafaceSlabText-BookItalic"/>
          <w:i/>
          <w:iCs/>
        </w:rPr>
        <w:t xml:space="preserve">Ulysse et Polyphème, </w:t>
      </w:r>
      <w:r w:rsidRPr="00D810D4">
        <w:rPr>
          <w:rFonts w:ascii="NeutrafaceSlabText-Book" w:hAnsi="NeutrafaceSlabText-Book" w:cs="NeutrafaceSlabText-Book"/>
        </w:rPr>
        <w:t>eau-forte, XVII</w:t>
      </w:r>
      <w:r w:rsidRPr="00EE46B6">
        <w:rPr>
          <w:rFonts w:ascii="Neutraface Slab Text Book" w:hAnsi="Neutraface Slab Text Book" w:cs="NeutrafaceSlabText-Book"/>
          <w:vertAlign w:val="superscript"/>
        </w:rPr>
        <w:t>ème</w:t>
      </w:r>
      <w:r w:rsidRPr="00D810D4">
        <w:rPr>
          <w:rFonts w:ascii="NeutrafaceSlabText-Book" w:hAnsi="NeutrafaceSlabText-Book" w:cs="NeutrafaceSlabText-Book"/>
        </w:rPr>
        <w:t xml:space="preserve"> siècle © Collection Bibliothèque municipale</w:t>
      </w:r>
      <w:r w:rsidRPr="00D810D4">
        <w:rPr>
          <w:rFonts w:ascii="NeutrafaceSlabText-BookItalic" w:hAnsi="NeutrafaceSlabText-BookItalic" w:cs="NeutrafaceSlabText-BookItalic"/>
          <w:i/>
          <w:iCs/>
        </w:rPr>
        <w:t xml:space="preserve"> </w:t>
      </w:r>
      <w:r w:rsidRPr="00D810D4">
        <w:rPr>
          <w:rFonts w:ascii="NeutrafaceSlabText-Book" w:hAnsi="NeutrafaceSlabText-Book" w:cs="NeutrafaceSlabText-Book"/>
        </w:rPr>
        <w:t>de Besançon, photographie Ville de Besançon</w:t>
      </w:r>
    </w:p>
    <w:p w:rsidR="00D810D4" w:rsidRPr="00D810D4" w:rsidRDefault="00D810D4" w:rsidP="00D810D4">
      <w:pPr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7. </w:t>
      </w:r>
      <w:r w:rsidRPr="00D810D4">
        <w:rPr>
          <w:rFonts w:ascii="NeutrafaceSlabText-Bold" w:hAnsi="NeutrafaceSlabText-Bold" w:cs="NeutrafaceSlabText-Bold"/>
          <w:b/>
          <w:bCs/>
        </w:rPr>
        <w:t>Jean MAUBLANC</w:t>
      </w:r>
      <w:r w:rsidRPr="00D810D4">
        <w:rPr>
          <w:rFonts w:ascii="NeutrafaceSlabText-Book" w:hAnsi="NeutrafaceSlabText-Book" w:cs="NeutrafaceSlabText-Book"/>
        </w:rPr>
        <w:t xml:space="preserve">, </w:t>
      </w:r>
      <w:r w:rsidRPr="00D810D4">
        <w:rPr>
          <w:rFonts w:ascii="NeutrafaceSlabText-BookItalic" w:hAnsi="NeutrafaceSlabText-BookItalic" w:cs="NeutrafaceSlabText-BookItalic"/>
          <w:i/>
          <w:iCs/>
        </w:rPr>
        <w:t>La Prise de Troie</w:t>
      </w:r>
      <w:r w:rsidRPr="00D810D4">
        <w:rPr>
          <w:rFonts w:ascii="NeutrafaceSlabText-Book" w:hAnsi="NeutrafaceSlabText-Book" w:cs="NeutrafaceSlabText-Book"/>
        </w:rPr>
        <w:t>, huile sur toile, XVII</w:t>
      </w:r>
      <w:r w:rsidRPr="00EE46B6">
        <w:rPr>
          <w:rFonts w:ascii="Neutraface Slab Text Book" w:hAnsi="Neutraface Slab Text Book" w:cs="NeutrafaceSlabText-Book"/>
          <w:vertAlign w:val="superscript"/>
        </w:rPr>
        <w:t>ème</w:t>
      </w:r>
      <w:r w:rsidRPr="00D810D4">
        <w:rPr>
          <w:rFonts w:ascii="NeutrafaceSlabText-Book" w:hAnsi="NeutrafaceSlabText-Book" w:cs="NeutrafaceSlabText-Book"/>
        </w:rPr>
        <w:t xml:space="preserve"> siècle © Collection MBAA, photographie Charles Choffet</w:t>
      </w: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8. </w:t>
      </w:r>
      <w:r w:rsidRPr="00D810D4">
        <w:rPr>
          <w:rFonts w:ascii="NeutrafaceSlabText-Bold" w:hAnsi="NeutrafaceSlabText-Bold" w:cs="NeutrafaceSlabText-Bold"/>
          <w:b/>
          <w:bCs/>
        </w:rPr>
        <w:t>Théobald CHARTRAN</w:t>
      </w:r>
      <w:r w:rsidRPr="00D810D4">
        <w:rPr>
          <w:rFonts w:ascii="NeutrafaceSlabText-Book" w:hAnsi="NeutrafaceSlabText-Book" w:cs="NeutrafaceSlabText-Book"/>
        </w:rPr>
        <w:t xml:space="preserve">, </w:t>
      </w:r>
      <w:r w:rsidRPr="00D810D4">
        <w:rPr>
          <w:rFonts w:ascii="NeutrafaceSlabText-BookItalic" w:hAnsi="NeutrafaceSlabText-BookItalic" w:cs="NeutrafaceSlabText-BookItalic"/>
          <w:i/>
          <w:iCs/>
        </w:rPr>
        <w:t>Etude pour Priam aux pieds d’Achille</w:t>
      </w:r>
      <w:r w:rsidRPr="00D810D4">
        <w:rPr>
          <w:rFonts w:ascii="NeutrafaceSlabText-Book" w:hAnsi="NeutrafaceSlabText-Book" w:cs="NeutrafaceSlabText-Book"/>
        </w:rPr>
        <w:t>, sanguine et rehauts de gouache blanche, XIX</w:t>
      </w:r>
      <w:r w:rsidRPr="00EE46B6">
        <w:rPr>
          <w:rFonts w:ascii="Neutraface Slab Text Book" w:hAnsi="Neutraface Slab Text Book" w:cs="NeutrafaceSlabText-Book"/>
          <w:vertAlign w:val="superscript"/>
        </w:rPr>
        <w:t>ème</w:t>
      </w:r>
      <w:r w:rsidRPr="00D810D4">
        <w:rPr>
          <w:rFonts w:ascii="NeutrafaceSlabText-Book" w:hAnsi="NeutrafaceSlabText-Book" w:cs="NeutrafaceSlabText-Book"/>
        </w:rPr>
        <w:t xml:space="preserve"> siècle © Collection du MBAA, photographie Pierre </w:t>
      </w:r>
      <w:proofErr w:type="spellStart"/>
      <w:r w:rsidRPr="00D810D4">
        <w:rPr>
          <w:rFonts w:ascii="NeutrafaceSlabText-Book" w:hAnsi="NeutrafaceSlabText-Book" w:cs="NeutrafaceSlabText-Book"/>
        </w:rPr>
        <w:t>Guenat</w:t>
      </w:r>
      <w:proofErr w:type="spellEnd"/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9. </w:t>
      </w:r>
      <w:r w:rsidRPr="00D810D4">
        <w:rPr>
          <w:rFonts w:ascii="NeutrafaceSlabText-Bold" w:hAnsi="NeutrafaceSlabText-Bold" w:cs="NeutrafaceSlabText-Bold"/>
          <w:b/>
          <w:bCs/>
        </w:rPr>
        <w:t>Jules DESBOIS</w:t>
      </w:r>
      <w:r w:rsidRPr="00D810D4">
        <w:rPr>
          <w:rFonts w:ascii="NeutrafaceSlabText-Book" w:hAnsi="NeutrafaceSlabText-Book" w:cs="NeutrafaceSlabText-Book"/>
        </w:rPr>
        <w:t xml:space="preserve">, </w:t>
      </w:r>
      <w:r w:rsidRPr="00D810D4">
        <w:rPr>
          <w:rFonts w:ascii="NeutrafaceSlabText-BookItalic" w:hAnsi="NeutrafaceSlabText-BookItalic" w:cs="NeutrafaceSlabText-BookItalic"/>
          <w:i/>
          <w:iCs/>
        </w:rPr>
        <w:t>Léda et le Cygne</w:t>
      </w:r>
      <w:r w:rsidRPr="00D810D4">
        <w:rPr>
          <w:rFonts w:ascii="NeutrafaceSlabText-Book" w:hAnsi="NeutrafaceSlabText-Book" w:cs="NeutrafaceSlabText-Book"/>
        </w:rPr>
        <w:t>, bronze, 1891 © Collection du</w:t>
      </w:r>
    </w:p>
    <w:p w:rsidR="00D810D4" w:rsidRPr="00D810D4" w:rsidRDefault="00D810D4" w:rsidP="00D810D4">
      <w:pPr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MBAA, photographie Jean-Louis </w:t>
      </w:r>
      <w:proofErr w:type="spellStart"/>
      <w:r w:rsidRPr="00D810D4">
        <w:rPr>
          <w:rFonts w:ascii="NeutrafaceSlabText-Book" w:hAnsi="NeutrafaceSlabText-Book" w:cs="NeutrafaceSlabText-Book"/>
        </w:rPr>
        <w:t>Dousson</w:t>
      </w:r>
      <w:proofErr w:type="spellEnd"/>
    </w:p>
    <w:p w:rsidR="00D810D4" w:rsidRPr="00D810D4" w:rsidRDefault="00D810D4" w:rsidP="00D810D4">
      <w:pPr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10. </w:t>
      </w:r>
      <w:r w:rsidRPr="00D810D4">
        <w:rPr>
          <w:rFonts w:ascii="NeutrafaceSlabText-Bold" w:hAnsi="NeutrafaceSlabText-Bold" w:cs="NeutrafaceSlabText-Bold"/>
          <w:b/>
          <w:bCs/>
        </w:rPr>
        <w:t>Assiette de Nevers</w:t>
      </w:r>
      <w:r w:rsidRPr="00D810D4">
        <w:rPr>
          <w:rFonts w:ascii="NeutrafaceSlabText-Book" w:hAnsi="NeutrafaceSlabText-Book" w:cs="NeutrafaceSlabText-Book"/>
        </w:rPr>
        <w:t xml:space="preserve">, </w:t>
      </w:r>
      <w:r w:rsidRPr="00D810D4">
        <w:rPr>
          <w:rFonts w:ascii="NeutrafaceSlabText-BookItalic" w:hAnsi="NeutrafaceSlabText-BookItalic" w:cs="NeutrafaceSlabText-BookItalic"/>
          <w:i/>
          <w:iCs/>
        </w:rPr>
        <w:t>Ravage de Troie par Neptune</w:t>
      </w:r>
      <w:r w:rsidRPr="00D810D4">
        <w:rPr>
          <w:rFonts w:ascii="NeutrafaceSlabText-Book" w:hAnsi="NeutrafaceSlabText-Book" w:cs="NeutrafaceSlabText-Book"/>
        </w:rPr>
        <w:t>, faïence polychrome, XVIII</w:t>
      </w:r>
      <w:r w:rsidRPr="00EE46B6">
        <w:rPr>
          <w:rFonts w:ascii="Neutraface Slab Text Book" w:hAnsi="Neutraface Slab Text Book" w:cs="NeutrafaceSlabText-Book"/>
          <w:vertAlign w:val="superscript"/>
        </w:rPr>
        <w:t>ème</w:t>
      </w:r>
      <w:r w:rsidRPr="00D810D4">
        <w:rPr>
          <w:rFonts w:ascii="NeutrafaceSlabText-Book" w:hAnsi="NeutrafaceSlabText-Book" w:cs="NeutrafaceSlabText-Book"/>
        </w:rPr>
        <w:t xml:space="preserve"> siècle © Collection du MBAA, photographie Jean-Louis </w:t>
      </w:r>
      <w:proofErr w:type="spellStart"/>
      <w:r w:rsidRPr="00D810D4">
        <w:rPr>
          <w:rFonts w:ascii="NeutrafaceSlabText-Book" w:hAnsi="NeutrafaceSlabText-Book" w:cs="NeutrafaceSlabText-Book"/>
        </w:rPr>
        <w:t>Dousson</w:t>
      </w:r>
      <w:proofErr w:type="spellEnd"/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11. </w:t>
      </w:r>
      <w:r w:rsidRPr="00D810D4">
        <w:rPr>
          <w:rFonts w:ascii="NeutrafaceSlabText-Bold" w:hAnsi="NeutrafaceSlabText-Bold" w:cs="NeutrafaceSlabText-Bold"/>
          <w:b/>
          <w:bCs/>
        </w:rPr>
        <w:t>Cratère en cloche avec Bacchus</w:t>
      </w:r>
      <w:r w:rsidRPr="00D810D4">
        <w:rPr>
          <w:rFonts w:ascii="NeutrafaceSlabText-Book" w:hAnsi="NeutrafaceSlabText-Book" w:cs="NeutrafaceSlabText-Book"/>
        </w:rPr>
        <w:t>, 1er quart du IV</w:t>
      </w:r>
      <w:r w:rsidRPr="00EE46B6">
        <w:rPr>
          <w:rFonts w:ascii="Neutraface Slab Text Book" w:hAnsi="Neutraface Slab Text Book" w:cs="NeutrafaceSlabText-Book"/>
          <w:vertAlign w:val="superscript"/>
        </w:rPr>
        <w:t xml:space="preserve">ème </w:t>
      </w:r>
      <w:r w:rsidRPr="00D810D4">
        <w:rPr>
          <w:rFonts w:ascii="NeutrafaceSlabText-Book" w:hAnsi="NeutrafaceSlabText-Book" w:cs="NeutrafaceSlabText-Book"/>
        </w:rPr>
        <w:t xml:space="preserve">siècle av. J.-C., Italie © Collection du MBAA, photographie Jean-Louis </w:t>
      </w:r>
      <w:proofErr w:type="spellStart"/>
      <w:r w:rsidRPr="00D810D4">
        <w:rPr>
          <w:rFonts w:ascii="NeutrafaceSlabText-Book" w:hAnsi="NeutrafaceSlabText-Book" w:cs="NeutrafaceSlabText-Book"/>
        </w:rPr>
        <w:t>Dousson</w:t>
      </w:r>
      <w:proofErr w:type="spellEnd"/>
    </w:p>
    <w:p w:rsidR="00D810D4" w:rsidRPr="00D810D4" w:rsidRDefault="00D810D4" w:rsidP="00D810D4">
      <w:pPr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12. </w:t>
      </w:r>
      <w:r w:rsidRPr="00D810D4">
        <w:rPr>
          <w:rFonts w:ascii="NeutrafaceSlabText-Bold" w:hAnsi="NeutrafaceSlabText-Bold" w:cs="NeutrafaceSlabText-Bold"/>
          <w:b/>
          <w:bCs/>
        </w:rPr>
        <w:t>Emile LASSALLE</w:t>
      </w:r>
      <w:r w:rsidRPr="00D810D4">
        <w:rPr>
          <w:rFonts w:ascii="NeutrafaceSlabText-Book" w:hAnsi="NeutrafaceSlabText-Book" w:cs="NeutrafaceSlabText-Book"/>
        </w:rPr>
        <w:t xml:space="preserve">, d’après Jean GIGOUX, </w:t>
      </w:r>
      <w:r w:rsidRPr="00D810D4">
        <w:rPr>
          <w:rFonts w:ascii="NeutrafaceSlabText-BookItalic" w:hAnsi="NeutrafaceSlabText-BookItalic" w:cs="NeutrafaceSlabText-BookItalic"/>
          <w:i/>
          <w:iCs/>
        </w:rPr>
        <w:t>Pygmalion et Galathée</w:t>
      </w:r>
      <w:r w:rsidRPr="00D810D4">
        <w:rPr>
          <w:rFonts w:ascii="NeutrafaceSlabText-Book" w:hAnsi="NeutrafaceSlabText-Book" w:cs="NeutrafaceSlabText-Book"/>
        </w:rPr>
        <w:t>, lithographie, XIX</w:t>
      </w:r>
      <w:r w:rsidRPr="00EE46B6">
        <w:rPr>
          <w:rFonts w:ascii="Neutraface Slab Text Book" w:hAnsi="Neutraface Slab Text Book" w:cs="NeutrafaceSlabText-Book"/>
          <w:vertAlign w:val="superscript"/>
        </w:rPr>
        <w:t>ème</w:t>
      </w:r>
      <w:r w:rsidRPr="00D810D4">
        <w:rPr>
          <w:rFonts w:ascii="NeutrafaceSlabText-Book" w:hAnsi="NeutrafaceSlabText-Book" w:cs="NeutrafaceSlabText-Book"/>
        </w:rPr>
        <w:t xml:space="preserve"> siècle © Collection du MBAA, photographie Pierre </w:t>
      </w:r>
      <w:proofErr w:type="spellStart"/>
      <w:r w:rsidRPr="00D810D4">
        <w:rPr>
          <w:rFonts w:ascii="NeutrafaceSlabText-Book" w:hAnsi="NeutrafaceSlabText-Book" w:cs="NeutrafaceSlabText-Book"/>
        </w:rPr>
        <w:t>Guenat</w:t>
      </w:r>
      <w:proofErr w:type="spellEnd"/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</w:p>
    <w:p w:rsidR="00D810D4" w:rsidRPr="00D810D4" w:rsidRDefault="00D810D4" w:rsidP="00D810D4">
      <w:pPr>
        <w:autoSpaceDE w:val="0"/>
        <w:autoSpaceDN w:val="0"/>
        <w:adjustRightInd w:val="0"/>
        <w:rPr>
          <w:rFonts w:ascii="NeutrafaceSlabText-Book" w:hAnsi="NeutrafaceSlabText-Book" w:cs="NeutrafaceSlabText-Book"/>
        </w:rPr>
      </w:pPr>
      <w:r w:rsidRPr="00D810D4">
        <w:rPr>
          <w:rFonts w:ascii="NeutrafaceSlabText-Book" w:hAnsi="NeutrafaceSlabText-Book" w:cs="NeutrafaceSlabText-Book"/>
        </w:rPr>
        <w:t xml:space="preserve">13. </w:t>
      </w:r>
      <w:r w:rsidRPr="00D810D4">
        <w:rPr>
          <w:rFonts w:ascii="NeutrafaceSlabText-Bold" w:hAnsi="NeutrafaceSlabText-Bold" w:cs="NeutrafaceSlabText-Bold"/>
          <w:b/>
          <w:bCs/>
        </w:rPr>
        <w:t>Camille DEMESMAY</w:t>
      </w:r>
      <w:r w:rsidRPr="00D810D4">
        <w:rPr>
          <w:rFonts w:ascii="NeutrafaceSlabText-Book" w:hAnsi="NeutrafaceSlabText-Book" w:cs="NeutrafaceSlabText-Book"/>
        </w:rPr>
        <w:t xml:space="preserve">, </w:t>
      </w:r>
      <w:r w:rsidRPr="00D810D4">
        <w:rPr>
          <w:rFonts w:ascii="NeutrafaceSlabText-BookItalic" w:hAnsi="NeutrafaceSlabText-BookItalic" w:cs="NeutrafaceSlabText-BookItalic"/>
          <w:i/>
          <w:iCs/>
        </w:rPr>
        <w:t>Jeune faune</w:t>
      </w:r>
      <w:r w:rsidRPr="00D810D4">
        <w:rPr>
          <w:rFonts w:ascii="NeutrafaceSlabText-Book" w:hAnsi="NeutrafaceSlabText-Book" w:cs="NeutrafaceSlabText-Book"/>
        </w:rPr>
        <w:t>, marbre blanc, 1858 © Collection du MBAA, photographie Charles Choffet</w:t>
      </w:r>
    </w:p>
    <w:sectPr w:rsidR="00D810D4" w:rsidRPr="00D81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traface 2 Display Titling">
    <w:panose1 w:val="00000000000000000000"/>
    <w:charset w:val="00"/>
    <w:family w:val="modern"/>
    <w:notTrueType/>
    <w:pitch w:val="variable"/>
    <w:sig w:usb0="00000087" w:usb1="00000000" w:usb2="00000000" w:usb3="00000000" w:csb0="0000009B" w:csb1="00000000"/>
  </w:font>
  <w:font w:name="NeutrafaceSlabText-Book">
    <w:panose1 w:val="02060503020205020402"/>
    <w:charset w:val="00"/>
    <w:family w:val="roman"/>
    <w:notTrueType/>
    <w:pitch w:val="default"/>
    <w:sig w:usb0="00000003" w:usb1="00000000" w:usb2="00000000" w:usb3="00000000" w:csb0="00000001" w:csb1="00000000"/>
  </w:font>
  <w:font w:name="NeutrafaceSlabText-Bold">
    <w:panose1 w:val="02060803020205020402"/>
    <w:charset w:val="00"/>
    <w:family w:val="roman"/>
    <w:notTrueType/>
    <w:pitch w:val="default"/>
    <w:sig w:usb0="00000003" w:usb1="00000000" w:usb2="00000000" w:usb3="00000000" w:csb0="00000001" w:csb1="00000000"/>
  </w:font>
  <w:font w:name="NeutrafaceSlabText-Book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utraface Slab Text Book">
    <w:panose1 w:val="00000000000000000000"/>
    <w:charset w:val="00"/>
    <w:family w:val="roman"/>
    <w:notTrueType/>
    <w:pitch w:val="variable"/>
    <w:sig w:usb0="00000087" w:usb1="00000000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D4"/>
    <w:rsid w:val="002B7087"/>
    <w:rsid w:val="002D4D15"/>
    <w:rsid w:val="00303831"/>
    <w:rsid w:val="009C1AD3"/>
    <w:rsid w:val="00CA3F53"/>
    <w:rsid w:val="00D810D4"/>
    <w:rsid w:val="00EE46B6"/>
    <w:rsid w:val="00EF4427"/>
    <w:rsid w:val="00F3052E"/>
    <w:rsid w:val="00F7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11E89-81C5-4877-9871-FD1B3508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287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Grand Besançon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COUDERT Anne-Lise</dc:creator>
  <cp:keywords/>
  <dc:description/>
  <cp:lastModifiedBy>COUDERT Anne-Lise</cp:lastModifiedBy>
  <cp:revision>4</cp:revision>
  <dcterms:created xsi:type="dcterms:W3CDTF">2015-11-09T13:59:00Z</dcterms:created>
  <dcterms:modified xsi:type="dcterms:W3CDTF">2015-11-09T14:17:00Z</dcterms:modified>
</cp:coreProperties>
</file>